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AE9" w:rsidRPr="00007BAA" w:rsidRDefault="009D7AE9" w:rsidP="009D7AE9">
      <w:pPr>
        <w:rPr>
          <w:rFonts w:ascii="Verdana" w:hAnsi="Verdana"/>
          <w:color w:val="000000"/>
          <w:sz w:val="22"/>
          <w:szCs w:val="22"/>
        </w:rPr>
      </w:pPr>
    </w:p>
    <w:p w:rsidR="009D7AE9" w:rsidRPr="00007BAA" w:rsidRDefault="009D7AE9" w:rsidP="009D7AE9">
      <w:pPr>
        <w:widowControl w:val="0"/>
        <w:autoSpaceDE w:val="0"/>
        <w:autoSpaceDN w:val="0"/>
        <w:adjustRightInd w:val="0"/>
        <w:ind w:left="101" w:right="101"/>
        <w:jc w:val="center"/>
        <w:outlineLvl w:val="0"/>
        <w:rPr>
          <w:rFonts w:ascii="Verdana" w:hAnsi="Verdana" w:cs="Georgia"/>
          <w:color w:val="000000" w:themeColor="text1"/>
          <w:sz w:val="22"/>
          <w:szCs w:val="22"/>
        </w:rPr>
      </w:pPr>
      <w:bookmarkStart w:id="0" w:name="_Toc468085066"/>
      <w:bookmarkStart w:id="1" w:name="_Toc471715745"/>
      <w:bookmarkStart w:id="2" w:name="_Toc513055286"/>
      <w:r w:rsidRPr="00007BAA">
        <w:rPr>
          <w:rFonts w:ascii="Verdana" w:hAnsi="Verdana" w:cs="Georgia"/>
          <w:color w:val="000000" w:themeColor="text1"/>
          <w:sz w:val="22"/>
          <w:szCs w:val="22"/>
        </w:rPr>
        <w:t>In re Google Inc. Cookie Placement Consumer Privacy Litigation</w:t>
      </w:r>
      <w:bookmarkEnd w:id="0"/>
      <w:bookmarkEnd w:id="1"/>
      <w:bookmarkEnd w:id="2"/>
    </w:p>
    <w:p w:rsidR="009D7AE9" w:rsidRPr="00007BAA" w:rsidRDefault="009D7AE9" w:rsidP="009D7AE9">
      <w:pPr>
        <w:widowControl w:val="0"/>
        <w:autoSpaceDE w:val="0"/>
        <w:autoSpaceDN w:val="0"/>
        <w:adjustRightInd w:val="0"/>
        <w:jc w:val="center"/>
        <w:rPr>
          <w:rFonts w:ascii="Verdana" w:hAnsi="Verdana" w:cs="Georgia"/>
          <w:color w:val="000000" w:themeColor="text1"/>
          <w:sz w:val="22"/>
          <w:szCs w:val="22"/>
        </w:rPr>
      </w:pPr>
      <w:r w:rsidRPr="00007BAA">
        <w:rPr>
          <w:rFonts w:ascii="Verdana" w:hAnsi="Verdana" w:cs="Georgia"/>
          <w:color w:val="000000" w:themeColor="text1"/>
          <w:sz w:val="22"/>
          <w:szCs w:val="22"/>
        </w:rPr>
        <w:t>806 F.3d 125 (2015)</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3" w:name="co_anchor_Ia4a474c82cf111e698dc8b09b4f04"/>
      <w:bookmarkEnd w:id="3"/>
    </w:p>
    <w:p w:rsidR="009D7AE9" w:rsidRPr="00007BAA" w:rsidRDefault="009D7AE9" w:rsidP="009D7AE9">
      <w:pPr>
        <w:widowControl w:val="0"/>
        <w:autoSpaceDE w:val="0"/>
        <w:autoSpaceDN w:val="0"/>
        <w:adjustRightInd w:val="0"/>
        <w:jc w:val="center"/>
        <w:rPr>
          <w:rFonts w:ascii="Verdana" w:hAnsi="Verdana"/>
          <w:color w:val="000000" w:themeColor="text1"/>
          <w:sz w:val="22"/>
          <w:szCs w:val="22"/>
        </w:rPr>
      </w:pPr>
      <w:r w:rsidRPr="00007BAA">
        <w:rPr>
          <w:rFonts w:ascii="Verdana" w:hAnsi="Verdana"/>
          <w:color w:val="000000" w:themeColor="text1"/>
          <w:sz w:val="22"/>
          <w:szCs w:val="22"/>
        </w:rPr>
        <w:t>OPINION OF THE COURT</w:t>
      </w:r>
    </w:p>
    <w:p w:rsidR="009D7AE9" w:rsidRPr="00007BAA" w:rsidRDefault="009D7AE9" w:rsidP="009D7AE9">
      <w:pPr>
        <w:widowControl w:val="0"/>
        <w:autoSpaceDE w:val="0"/>
        <w:autoSpaceDN w:val="0"/>
        <w:adjustRightInd w:val="0"/>
        <w:jc w:val="center"/>
        <w:rPr>
          <w:rFonts w:ascii="Verdana" w:hAnsi="Verdana"/>
          <w:color w:val="000000" w:themeColor="text1"/>
          <w:sz w:val="22"/>
          <w:szCs w:val="22"/>
        </w:rPr>
      </w:pP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hyperlink r:id="rId6" w:history="1">
        <w:r w:rsidRPr="00007BAA">
          <w:rPr>
            <w:rFonts w:ascii="Verdana" w:hAnsi="Verdana"/>
            <w:color w:val="000000" w:themeColor="text1"/>
            <w:sz w:val="22"/>
            <w:szCs w:val="22"/>
          </w:rPr>
          <w:t>FUENTES</w:t>
        </w:r>
      </w:hyperlink>
      <w:r w:rsidRPr="00007BAA">
        <w:rPr>
          <w:rFonts w:ascii="Verdana" w:hAnsi="Verdana"/>
          <w:color w:val="000000" w:themeColor="text1"/>
          <w:sz w:val="22"/>
          <w:szCs w:val="22"/>
        </w:rPr>
        <w:t>, Circuit Judge:</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This class action arises from allegations that the defendants, who run internet advertising businesses, placed tracking cookies on the plaintiffs’ web browsers in contravention of their browsers’ cookie blockers and defendant Google’s own public statements. At issue in this appeal is the District Court’s dismissal of each of the nine claims brought by the plaintiffs. As follows, we will affirm in part, vacate in part, and remand to the District Court for additional proceedings.</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4" w:name="co_anchor_Ia4a474c92cf111e698dc8b09b4f04"/>
      <w:bookmarkEnd w:id="4"/>
    </w:p>
    <w:p w:rsidR="009D7AE9" w:rsidRPr="00007BAA" w:rsidRDefault="009D7AE9" w:rsidP="009D7AE9">
      <w:pPr>
        <w:widowControl w:val="0"/>
        <w:autoSpaceDE w:val="0"/>
        <w:autoSpaceDN w:val="0"/>
        <w:adjustRightInd w:val="0"/>
        <w:jc w:val="center"/>
        <w:rPr>
          <w:rFonts w:ascii="Verdana" w:hAnsi="Verdana"/>
          <w:b/>
          <w:bCs/>
          <w:color w:val="000000" w:themeColor="text1"/>
          <w:sz w:val="22"/>
          <w:szCs w:val="22"/>
        </w:rPr>
      </w:pPr>
      <w:r w:rsidRPr="00007BAA">
        <w:rPr>
          <w:rFonts w:ascii="Verdana" w:hAnsi="Verdana"/>
          <w:b/>
          <w:bCs/>
          <w:color w:val="000000" w:themeColor="text1"/>
          <w:sz w:val="22"/>
          <w:szCs w:val="22"/>
        </w:rPr>
        <w:t>I. Background</w:t>
      </w:r>
    </w:p>
    <w:p w:rsidR="009D7AE9" w:rsidRPr="00007BAA" w:rsidRDefault="009D7AE9" w:rsidP="009D7AE9">
      <w:pPr>
        <w:widowControl w:val="0"/>
        <w:autoSpaceDE w:val="0"/>
        <w:autoSpaceDN w:val="0"/>
        <w:adjustRightInd w:val="0"/>
        <w:jc w:val="center"/>
        <w:rPr>
          <w:rFonts w:ascii="Verdana" w:hAnsi="Verdana"/>
          <w:b/>
          <w:bCs/>
          <w:color w:val="000000" w:themeColor="text1"/>
          <w:sz w:val="22"/>
          <w:szCs w:val="22"/>
        </w:rPr>
      </w:pPr>
      <w:r w:rsidRPr="00007BAA">
        <w:rPr>
          <w:rFonts w:ascii="Verdana" w:hAnsi="Verdana"/>
          <w:b/>
          <w:bCs/>
          <w:color w:val="000000" w:themeColor="text1"/>
          <w:sz w:val="22"/>
          <w:szCs w:val="22"/>
        </w:rPr>
        <w:t>A. Internet Advertising and Cookie–Based Tracking</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In most users’ experience, webpages appear on browsers as integrated collages of text and images. As a technical matter, this content is delivered and aggregated from multiple independent servers. This includes advertising content, which is typically drawn from “third-party” servers owned by the advertisers themselves. The defendants in this case are internet advertising companies, and this suit concerns their practices in serving advertisements to the browsers of webpage visitors.</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The delivery of advertising content from third party servers to webpage visitors’ browsers is a highly technical process involving a series of communications between the visitor’s browser, the server of the visited website, and the server of the advertising company. In its specifics:</w:t>
      </w:r>
    </w:p>
    <w:p w:rsidR="009D7AE9" w:rsidRPr="00007BAA" w:rsidRDefault="009D7AE9" w:rsidP="009D7AE9">
      <w:pPr>
        <w:widowControl w:val="0"/>
        <w:autoSpaceDE w:val="0"/>
        <w:autoSpaceDN w:val="0"/>
        <w:adjustRightInd w:val="0"/>
        <w:ind w:left="1000" w:right="800"/>
        <w:jc w:val="both"/>
        <w:rPr>
          <w:rFonts w:ascii="Verdana" w:hAnsi="Verdana"/>
          <w:color w:val="000000" w:themeColor="text1"/>
          <w:sz w:val="22"/>
          <w:szCs w:val="22"/>
        </w:rPr>
      </w:pPr>
      <w:r w:rsidRPr="00007BAA">
        <w:rPr>
          <w:rFonts w:ascii="Verdana" w:hAnsi="Verdana"/>
          <w:color w:val="000000" w:themeColor="text1"/>
          <w:sz w:val="22"/>
          <w:szCs w:val="22"/>
        </w:rPr>
        <w:t>The host website leaves part of its webpage blank where the third-party advertisements will appear. Upon receiving a “GET” request from a user seeking to display a particular webpage, the server for that webpage will subsequently respond to the browser, instructing the browser to send a “GET” request to the third-party company charged with serving the advertisements for that particular webpage.... The third-party server responds to the GET request by sending the advertisement to the user’s browser, which then displays it on the user’s device. The entire process occurs within milliseconds and the third-party content appears to arrive simultaneously with the first-party content so that the user does not discern any separate GET requests from the third-parties.</w:t>
      </w:r>
      <w:bookmarkStart w:id="5" w:name="co_footnoteReference_B00112037563344_ID0"/>
      <w:bookmarkEnd w:id="5"/>
      <w:r w:rsidRPr="00007BAA">
        <w:rPr>
          <w:rFonts w:ascii="Verdana" w:hAnsi="Verdana"/>
          <w:color w:val="000000" w:themeColor="text1"/>
          <w:sz w:val="22"/>
          <w:szCs w:val="22"/>
        </w:rPr>
        <w:fldChar w:fldCharType="begin"/>
      </w:r>
      <w:r w:rsidRPr="00007BAA">
        <w:rPr>
          <w:rFonts w:ascii="Verdana" w:hAnsi="Verdana"/>
          <w:color w:val="000000" w:themeColor="text1"/>
          <w:sz w:val="22"/>
          <w:szCs w:val="22"/>
        </w:rPr>
        <w:instrText xml:space="preserve">HYPERLINK "#co_footnote_B00112037563344_1" </w:instrText>
      </w:r>
      <w:r w:rsidRPr="00007BAA">
        <w:rPr>
          <w:rFonts w:ascii="Verdana" w:hAnsi="Verdana"/>
          <w:color w:val="000000" w:themeColor="text1"/>
          <w:sz w:val="22"/>
          <w:szCs w:val="22"/>
        </w:rPr>
        <w:fldChar w:fldCharType="separate"/>
      </w:r>
      <w:r w:rsidRPr="00007BAA">
        <w:rPr>
          <w:rFonts w:ascii="Verdana" w:hAnsi="Verdana"/>
          <w:color w:val="000000" w:themeColor="text1"/>
          <w:sz w:val="22"/>
          <w:szCs w:val="22"/>
          <w:vertAlign w:val="superscript"/>
        </w:rPr>
        <w:t>1</w:t>
      </w:r>
      <w:r w:rsidRPr="00007BAA">
        <w:rPr>
          <w:rFonts w:ascii="Verdana" w:hAnsi="Verdana"/>
          <w:color w:val="000000" w:themeColor="text1"/>
          <w:sz w:val="22"/>
          <w:szCs w:val="22"/>
        </w:rPr>
        <w:fldChar w:fldCharType="end"/>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6" w:name="co_pp_sp_506_131_1"/>
      <w:bookmarkEnd w:id="6"/>
      <w:r w:rsidRPr="00007BAA">
        <w:rPr>
          <w:rFonts w:ascii="Verdana" w:hAnsi="Verdana"/>
          <w:color w:val="000000" w:themeColor="text1"/>
          <w:sz w:val="22"/>
          <w:szCs w:val="22"/>
        </w:rPr>
        <w:t xml:space="preserve">As the defendants deliver their advertisements directly to users from their own servers, the defendants have the capacity to vary how they populate their rented webpage space. This capacity permits targeting by which the defendants may serve different advertisements to different visitors. The general principle is that the more that an advertisement is tailored to its audience—sneakers for runners, legal pads </w:t>
      </w:r>
      <w:r w:rsidRPr="00007BAA">
        <w:rPr>
          <w:rFonts w:ascii="Verdana" w:hAnsi="Verdana"/>
          <w:color w:val="000000" w:themeColor="text1"/>
          <w:sz w:val="22"/>
          <w:szCs w:val="22"/>
        </w:rPr>
        <w:lastRenderedPageBreak/>
        <w:t>for lawyers—the greater the advertisement’s expected value. Here, the value of customization, combined with the capacity for individuated advertisement service, impels internet advertisers to surmise whatever they can about each particular person requesting webpage content.</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As pled in the complaint:</w:t>
      </w:r>
    </w:p>
    <w:p w:rsidR="009D7AE9" w:rsidRPr="00007BAA" w:rsidRDefault="009D7AE9" w:rsidP="009D7AE9">
      <w:pPr>
        <w:widowControl w:val="0"/>
        <w:autoSpaceDE w:val="0"/>
        <w:autoSpaceDN w:val="0"/>
        <w:adjustRightInd w:val="0"/>
        <w:ind w:left="200"/>
        <w:jc w:val="both"/>
        <w:rPr>
          <w:rFonts w:ascii="Verdana" w:hAnsi="Verdana"/>
          <w:color w:val="000000" w:themeColor="text1"/>
          <w:sz w:val="22"/>
          <w:szCs w:val="22"/>
        </w:rPr>
      </w:pPr>
    </w:p>
    <w:p w:rsidR="009D7AE9" w:rsidRPr="00007BAA" w:rsidRDefault="009D7AE9" w:rsidP="009D7AE9">
      <w:pPr>
        <w:widowControl w:val="0"/>
        <w:autoSpaceDE w:val="0"/>
        <w:autoSpaceDN w:val="0"/>
        <w:adjustRightInd w:val="0"/>
        <w:ind w:left="200"/>
        <w:jc w:val="both"/>
        <w:rPr>
          <w:rFonts w:ascii="Verdana" w:hAnsi="Verdana"/>
          <w:color w:val="000000" w:themeColor="text1"/>
          <w:sz w:val="22"/>
          <w:szCs w:val="22"/>
        </w:rPr>
      </w:pPr>
      <w:r w:rsidRPr="00007BAA">
        <w:rPr>
          <w:rFonts w:ascii="Verdana" w:hAnsi="Verdana"/>
          <w:color w:val="000000" w:themeColor="text1"/>
          <w:sz w:val="22"/>
          <w:szCs w:val="22"/>
        </w:rPr>
        <w:t>To inject the most targeted ads possible, and therefore charge higher rates to buyers of the ad space, these third-party companies ... compile the [i]nternet histories of users. The third-party advertising companies use “third-party cookies” to accomplish this goal. In the process of injecting the advertisements into the first-party websites, the third-party advertising companies also place third-party cookies on user’s computing devices. Since the advertising companies place advertisements on multiple sites, these cookies allow these companies to keep track of and monitor an individual user’s web activity over every website on which these companies inject ads.</w:t>
      </w:r>
      <w:bookmarkStart w:id="7" w:name="co_footnoteReference_B00222037563344_ID0"/>
      <w:bookmarkEnd w:id="7"/>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ind w:left="200"/>
        <w:jc w:val="both"/>
        <w:rPr>
          <w:rFonts w:ascii="Verdana" w:hAnsi="Verdana"/>
          <w:color w:val="000000" w:themeColor="text1"/>
          <w:sz w:val="22"/>
          <w:szCs w:val="22"/>
        </w:rPr>
      </w:pPr>
      <w:r w:rsidRPr="00007BAA">
        <w:rPr>
          <w:rFonts w:ascii="Verdana" w:hAnsi="Verdana"/>
          <w:color w:val="000000" w:themeColor="text1"/>
          <w:sz w:val="22"/>
          <w:szCs w:val="22"/>
        </w:rPr>
        <w:t>These third-party cookies are used by advertising companies to help create detailed profiles on individuals ... by recording every communication request by that browser to sites that are participating in the ad network, including all search terms the user has entered. The information is sent to the companies and associated with unique cookies—that is how the tracking takes place. The cookie lets the tracker associate the web activity with a unique person using a unique browser on a device. Once the third-party cookie is placed in the browser, the next time the user goes to a website with the same [d]efendant’s advertisements, a copy of that request can be associated with the unique third-party cookie previously placed. Thus the tracker can track the behavior of the user....</w:t>
      </w:r>
      <w:bookmarkStart w:id="8" w:name="co_footnoteReference_B00332037563344_ID0"/>
      <w:bookmarkEnd w:id="8"/>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9" w:name="co_anchor_Ia4a474ca2cf111e698dc8b09b4f04"/>
      <w:bookmarkEnd w:id="9"/>
    </w:p>
    <w:p w:rsidR="009D7AE9" w:rsidRPr="00007BAA" w:rsidRDefault="009D7AE9" w:rsidP="009D7AE9">
      <w:pPr>
        <w:widowControl w:val="0"/>
        <w:autoSpaceDE w:val="0"/>
        <w:autoSpaceDN w:val="0"/>
        <w:adjustRightInd w:val="0"/>
        <w:jc w:val="center"/>
        <w:rPr>
          <w:rFonts w:ascii="Verdana" w:hAnsi="Verdana"/>
          <w:b/>
          <w:bCs/>
          <w:color w:val="000000" w:themeColor="text1"/>
          <w:sz w:val="22"/>
          <w:szCs w:val="22"/>
        </w:rPr>
      </w:pPr>
      <w:r w:rsidRPr="00007BAA">
        <w:rPr>
          <w:rFonts w:ascii="Verdana" w:hAnsi="Verdana"/>
          <w:b/>
          <w:bCs/>
          <w:color w:val="000000" w:themeColor="text1"/>
          <w:sz w:val="22"/>
          <w:szCs w:val="22"/>
        </w:rPr>
        <w:t>B. Cookie Blocking, Circumvention, Deceit, and Discovery</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Individually tailored webpage advertisements are now ubiquitous. But, where cookie-based tracking is concerned, leading web browsers have designed built-in features to prevent the installation of cookies by third-party servers. The complaint calls them “cookie blockers.” The cookie blockers of two browsers are at issue in this case. One is Microsoft’s Internet Explorer, which featured an “opt-in” cookie blocker that a user could elect to activate. The other is Apple’s Safari browser, which featured an “opt-out” cookie blocker that was activated by default. The complaint notes that the main Apple website page dedicated to Safari advertised its opt-out cookie blocker as a unique feature, stating that, “to better protect[ ] your privacy[,] Safari accepts cookies only from the websites you visit.”</w:t>
      </w:r>
      <w:bookmarkStart w:id="10" w:name="co_footnoteReference_B00442037563344_ID0"/>
      <w:bookmarkEnd w:id="10"/>
      <w:r w:rsidRPr="00007BAA">
        <w:rPr>
          <w:rFonts w:ascii="Verdana" w:hAnsi="Verdana"/>
          <w:color w:val="000000" w:themeColor="text1"/>
          <w:sz w:val="22"/>
          <w:szCs w:val="22"/>
        </w:rPr>
        <w:fldChar w:fldCharType="begin"/>
      </w:r>
      <w:r w:rsidRPr="00007BAA">
        <w:rPr>
          <w:rFonts w:ascii="Verdana" w:hAnsi="Verdana"/>
          <w:color w:val="000000" w:themeColor="text1"/>
          <w:sz w:val="22"/>
          <w:szCs w:val="22"/>
        </w:rPr>
        <w:instrText xml:space="preserve">HYPERLINK "#co_footnote_B00442037563344_1" </w:instrText>
      </w:r>
      <w:r w:rsidRPr="00007BAA">
        <w:rPr>
          <w:rFonts w:ascii="Verdana" w:hAnsi="Verdana"/>
          <w:color w:val="000000" w:themeColor="text1"/>
          <w:sz w:val="22"/>
          <w:szCs w:val="22"/>
        </w:rPr>
        <w:fldChar w:fldCharType="separate"/>
      </w:r>
      <w:r w:rsidRPr="00007BAA">
        <w:rPr>
          <w:rFonts w:ascii="Verdana" w:hAnsi="Verdana"/>
          <w:color w:val="000000" w:themeColor="text1"/>
          <w:sz w:val="22"/>
          <w:szCs w:val="22"/>
          <w:vertAlign w:val="superscript"/>
        </w:rPr>
        <w:t>4</w:t>
      </w:r>
      <w:r w:rsidRPr="00007BAA">
        <w:rPr>
          <w:rFonts w:ascii="Verdana" w:hAnsi="Verdana"/>
          <w:color w:val="000000" w:themeColor="text1"/>
          <w:sz w:val="22"/>
          <w:szCs w:val="22"/>
        </w:rPr>
        <w:fldChar w:fldCharType="end"/>
      </w:r>
      <w:r w:rsidRPr="00007BAA">
        <w:rPr>
          <w:rFonts w:ascii="Verdana" w:hAnsi="Verdana"/>
          <w:color w:val="000000" w:themeColor="text1"/>
          <w:sz w:val="22"/>
          <w:szCs w:val="22"/>
        </w:rPr>
        <w:t xml:space="preserve"> Likewise, the Safari browser labeled its default cookie setting as “Block cookies: From third parties and advertisers.”</w:t>
      </w:r>
      <w:bookmarkStart w:id="11" w:name="co_footnoteReference_B00552037563344_ID0"/>
      <w:bookmarkEnd w:id="11"/>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12" w:name="co_pp_sp_506_132_1"/>
      <w:bookmarkEnd w:id="12"/>
      <w:r w:rsidRPr="00007BAA">
        <w:rPr>
          <w:rFonts w:ascii="Verdana" w:hAnsi="Verdana"/>
          <w:color w:val="000000" w:themeColor="text1"/>
          <w:sz w:val="22"/>
          <w:szCs w:val="22"/>
        </w:rPr>
        <w:t>According to the complaint, the Safari and Internet Explorer cookie blockers were well-known to industry participants, including as to their existence, functionality, and purpose. More is alleged about Google in particular. Google’s Privacy Policy explained that “most browsers are initially set up to accept cookies, but you can reset your browser to refuse all cookies or to indicate when a cookie is being sent.”</w:t>
      </w:r>
      <w:bookmarkStart w:id="13" w:name="co_footnoteReference_B00662037563344_ID0"/>
      <w:bookmarkEnd w:id="13"/>
      <w:r w:rsidRPr="00007BAA">
        <w:rPr>
          <w:rFonts w:ascii="Verdana" w:hAnsi="Verdana"/>
          <w:color w:val="000000" w:themeColor="text1"/>
          <w:sz w:val="22"/>
          <w:szCs w:val="22"/>
        </w:rPr>
        <w:t xml:space="preserve"> Google provided further assurances about the Safari cookie blocker specifically. Google </w:t>
      </w:r>
      <w:r w:rsidRPr="00007BAA">
        <w:rPr>
          <w:rFonts w:ascii="Verdana" w:hAnsi="Verdana"/>
          <w:color w:val="000000" w:themeColor="text1"/>
          <w:sz w:val="22"/>
          <w:szCs w:val="22"/>
        </w:rPr>
        <w:lastRenderedPageBreak/>
        <w:t>offered a proprietary cookie blocker, a so-called “opt-out cookie” that, when downloaded, would prevent the installation of tracking cookies. On the public webpage Google maintained to describe its opt-out cookie, Google assured visitors that “Safari is set by default to block all third party cookies. If you have not changed those settings, this option essentially accomplishes the same thing as setting the opt-out cookie.”</w:t>
      </w:r>
      <w:bookmarkStart w:id="14" w:name="co_footnoteReference_B00772037563344_ID0"/>
      <w:bookmarkEnd w:id="14"/>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In February 2012, Stanford graduate student Jonathan Mayer published an online report revealing that Google and the other defendants had discovered, and were surreptitiously exploiting, loopholes in both the Safari cookie blocker and the Internet Explorer cookie blocker.</w:t>
      </w:r>
      <w:bookmarkStart w:id="15" w:name="co_footnoteReference_B00882037563344_ID0"/>
      <w:bookmarkEnd w:id="15"/>
      <w:r w:rsidRPr="00007BAA">
        <w:rPr>
          <w:rFonts w:ascii="Verdana" w:hAnsi="Verdana"/>
          <w:color w:val="000000" w:themeColor="text1"/>
          <w:sz w:val="22"/>
          <w:szCs w:val="22"/>
        </w:rPr>
        <w:fldChar w:fldCharType="begin"/>
      </w:r>
      <w:r w:rsidRPr="00007BAA">
        <w:rPr>
          <w:rFonts w:ascii="Verdana" w:hAnsi="Verdana"/>
          <w:color w:val="000000" w:themeColor="text1"/>
          <w:sz w:val="22"/>
          <w:szCs w:val="22"/>
        </w:rPr>
        <w:instrText xml:space="preserve">HYPERLINK "#co_footnote_B00882037563344_1" </w:instrText>
      </w:r>
      <w:r w:rsidRPr="00007BAA">
        <w:rPr>
          <w:rFonts w:ascii="Verdana" w:hAnsi="Verdana"/>
          <w:color w:val="000000" w:themeColor="text1"/>
          <w:sz w:val="22"/>
          <w:szCs w:val="22"/>
        </w:rPr>
        <w:fldChar w:fldCharType="separate"/>
      </w:r>
      <w:r w:rsidRPr="00007BAA">
        <w:rPr>
          <w:rFonts w:ascii="Verdana" w:hAnsi="Verdana"/>
          <w:color w:val="000000" w:themeColor="text1"/>
          <w:sz w:val="22"/>
          <w:szCs w:val="22"/>
          <w:vertAlign w:val="superscript"/>
        </w:rPr>
        <w:t>8</w:t>
      </w:r>
      <w:r w:rsidRPr="00007BAA">
        <w:rPr>
          <w:rFonts w:ascii="Verdana" w:hAnsi="Verdana"/>
          <w:color w:val="000000" w:themeColor="text1"/>
          <w:sz w:val="22"/>
          <w:szCs w:val="22"/>
        </w:rPr>
        <w:fldChar w:fldCharType="end"/>
      </w:r>
      <w:r w:rsidRPr="00007BAA">
        <w:rPr>
          <w:rFonts w:ascii="Verdana" w:hAnsi="Verdana"/>
          <w:color w:val="000000" w:themeColor="text1"/>
          <w:sz w:val="22"/>
          <w:szCs w:val="22"/>
        </w:rPr>
        <w:t xml:space="preserve"> Safari’s cookie blocker turns out to have had a few exceptions, one of which was that it permitted third-party cookies if the browser submitted a certain form to the third-party. Because advertisement delivery does not, in the ordinary course, involve such forms, the exception ought not have provided a pathway to installing advertiser tracking cookies. But according to Mayer’s report, Google used code to command users’ web browsers to automatically submit a hidden form to Google when users visited websites embedded with Google advertisements. This covert form triggered the exception to the cookie blocker, and, used widely, enabled the broad placement of cookies on Safari browsers notwithstanding that the blocker—as Google publicly acknowledged—was designed to prevent just that. The other defendants, meanwhile, accomplished similar circumventions. As a result, the defendants could—and did—place third-party cookies on browsers with activated blockers.</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Mayer’s findings were concurrently published in the Wall Street Journal</w:t>
      </w:r>
      <w:bookmarkStart w:id="16" w:name="co_footnoteReference_B00992037563344_ID0"/>
      <w:bookmarkEnd w:id="16"/>
      <w:r w:rsidRPr="00007BAA">
        <w:rPr>
          <w:rFonts w:ascii="Verdana" w:hAnsi="Verdana"/>
          <w:color w:val="000000" w:themeColor="text1"/>
          <w:sz w:val="22"/>
          <w:szCs w:val="22"/>
        </w:rPr>
        <w:fldChar w:fldCharType="begin"/>
      </w:r>
      <w:r w:rsidRPr="00007BAA">
        <w:rPr>
          <w:rFonts w:ascii="Verdana" w:hAnsi="Verdana"/>
          <w:color w:val="000000" w:themeColor="text1"/>
          <w:sz w:val="22"/>
          <w:szCs w:val="22"/>
        </w:rPr>
        <w:instrText xml:space="preserve">HYPERLINK "#co_footnote_B00992037563344_1" </w:instrText>
      </w:r>
      <w:r w:rsidRPr="00007BAA">
        <w:rPr>
          <w:rFonts w:ascii="Verdana" w:hAnsi="Verdana"/>
          <w:color w:val="000000" w:themeColor="text1"/>
          <w:sz w:val="22"/>
          <w:szCs w:val="22"/>
        </w:rPr>
        <w:fldChar w:fldCharType="separate"/>
      </w:r>
      <w:r w:rsidRPr="00007BAA">
        <w:rPr>
          <w:rFonts w:ascii="Verdana" w:hAnsi="Verdana"/>
          <w:color w:val="000000" w:themeColor="text1"/>
          <w:sz w:val="22"/>
          <w:szCs w:val="22"/>
          <w:vertAlign w:val="superscript"/>
        </w:rPr>
        <w:t>9</w:t>
      </w:r>
      <w:r w:rsidRPr="00007BAA">
        <w:rPr>
          <w:rFonts w:ascii="Verdana" w:hAnsi="Verdana"/>
          <w:color w:val="000000" w:themeColor="text1"/>
          <w:sz w:val="22"/>
          <w:szCs w:val="22"/>
        </w:rPr>
        <w:fldChar w:fldCharType="end"/>
      </w:r>
      <w:r w:rsidRPr="00007BAA">
        <w:rPr>
          <w:rFonts w:ascii="Verdana" w:hAnsi="Verdana"/>
          <w:color w:val="000000" w:themeColor="text1"/>
          <w:sz w:val="22"/>
          <w:szCs w:val="22"/>
        </w:rPr>
        <w:t xml:space="preserve"> and drew the attention of the Federal Trade Commission and a consortium of state attorneys general. The Department of Justice filed suit under the Federal Trade Commission’s authorizing statute in the Northern District of California, and the action resolved by way of a stipulated order providing for a $22.5 million civil penalty.</w:t>
      </w:r>
      <w:bookmarkStart w:id="17" w:name="co_footnoteReference_B010102037563344_ID"/>
      <w:bookmarkEnd w:id="17"/>
      <w:r w:rsidRPr="00007BAA">
        <w:rPr>
          <w:rFonts w:ascii="Verdana" w:hAnsi="Verdana"/>
          <w:color w:val="000000" w:themeColor="text1"/>
          <w:sz w:val="22"/>
          <w:szCs w:val="22"/>
        </w:rPr>
        <w:t xml:space="preserve"> Google further agreed to certain forward-looking conditions related to internet privacy, but admitted no past acts or </w:t>
      </w:r>
      <w:bookmarkStart w:id="18" w:name="co_pp_sp_506_133_1"/>
      <w:bookmarkEnd w:id="18"/>
      <w:r w:rsidRPr="00007BAA">
        <w:rPr>
          <w:rFonts w:ascii="Verdana" w:hAnsi="Verdana"/>
          <w:color w:val="000000" w:themeColor="text1"/>
          <w:sz w:val="22"/>
          <w:szCs w:val="22"/>
        </w:rPr>
        <w:t>wrongdoing.</w:t>
      </w:r>
      <w:bookmarkStart w:id="19" w:name="co_footnoteReference_B011112037563344_ID"/>
      <w:bookmarkEnd w:id="19"/>
      <w:r w:rsidRPr="00007BAA">
        <w:rPr>
          <w:rFonts w:ascii="Verdana" w:hAnsi="Verdana"/>
          <w:color w:val="000000" w:themeColor="text1"/>
          <w:sz w:val="22"/>
          <w:szCs w:val="22"/>
        </w:rPr>
        <w:t xml:space="preserve"> Google similarly reached a $17 million settlement with 38 state attorneys general, including the California Attorney General.</w:t>
      </w:r>
      <w:bookmarkStart w:id="20" w:name="co_footnoteReference_B012122037563344_ID"/>
      <w:bookmarkEnd w:id="20"/>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21" w:name="co_anchor_Ia4a474cb2cf111e698dc8b09b4f04"/>
      <w:bookmarkEnd w:id="21"/>
    </w:p>
    <w:p w:rsidR="009D7AE9" w:rsidRPr="00007BAA" w:rsidRDefault="009D7AE9" w:rsidP="009D7AE9">
      <w:pPr>
        <w:widowControl w:val="0"/>
        <w:autoSpaceDE w:val="0"/>
        <w:autoSpaceDN w:val="0"/>
        <w:adjustRightInd w:val="0"/>
        <w:jc w:val="center"/>
        <w:rPr>
          <w:rFonts w:ascii="Verdana" w:hAnsi="Verdana"/>
          <w:b/>
          <w:bCs/>
          <w:color w:val="000000" w:themeColor="text1"/>
          <w:sz w:val="22"/>
          <w:szCs w:val="22"/>
        </w:rPr>
      </w:pPr>
      <w:r w:rsidRPr="00007BAA">
        <w:rPr>
          <w:rFonts w:ascii="Verdana" w:hAnsi="Verdana"/>
          <w:b/>
          <w:bCs/>
          <w:color w:val="000000" w:themeColor="text1"/>
          <w:sz w:val="22"/>
          <w:szCs w:val="22"/>
        </w:rPr>
        <w:t>C. The Instant Suit</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Following Mayer’s report, a series of lawsuits were filed in federal district courts around the country. Those lawsuits were consolidated by the Multi–District Litigation panel and assigned to Judge Sue Robinson of the District of Delaware. This appeal is from the District Court’s dismissal of that consolidated case.</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The consolidated case was presented to the District Court as a putative class action, and four named plaintiffs—our appellants here—filed a consolidated class action complaint. The putative class consists of:</w:t>
      </w:r>
    </w:p>
    <w:p w:rsidR="009D7AE9" w:rsidRPr="00007BAA" w:rsidRDefault="009D7AE9" w:rsidP="009D7AE9">
      <w:pPr>
        <w:widowControl w:val="0"/>
        <w:autoSpaceDE w:val="0"/>
        <w:autoSpaceDN w:val="0"/>
        <w:adjustRightInd w:val="0"/>
        <w:ind w:left="1000" w:right="800"/>
        <w:jc w:val="both"/>
        <w:rPr>
          <w:rFonts w:ascii="Verdana" w:hAnsi="Verdana"/>
          <w:color w:val="000000" w:themeColor="text1"/>
          <w:sz w:val="22"/>
          <w:szCs w:val="22"/>
        </w:rPr>
      </w:pPr>
      <w:r w:rsidRPr="00007BAA">
        <w:rPr>
          <w:rFonts w:ascii="Verdana" w:hAnsi="Verdana"/>
          <w:color w:val="000000" w:themeColor="text1"/>
          <w:sz w:val="22"/>
          <w:szCs w:val="22"/>
        </w:rPr>
        <w:t xml:space="preserve">all persons in the United States of America who used the Apple Safari or Microsoft Internet Explorer web browsers and who visited a website from which doubleclick.net (Google’s advertising serving service), PointRoll, Vibrant Media, Media Innovation Group, or WPP cookies were deployed as part of a scheme to circumvent the users’ </w:t>
      </w:r>
      <w:r w:rsidRPr="00007BAA">
        <w:rPr>
          <w:rFonts w:ascii="Verdana" w:hAnsi="Verdana"/>
          <w:color w:val="000000" w:themeColor="text1"/>
          <w:sz w:val="22"/>
          <w:szCs w:val="22"/>
        </w:rPr>
        <w:lastRenderedPageBreak/>
        <w:t xml:space="preserve">browsers’ settings to block such cookies and which were thereby used to enable tracking of the class </w:t>
      </w:r>
      <w:proofErr w:type="gramStart"/>
      <w:r w:rsidRPr="00007BAA">
        <w:rPr>
          <w:rFonts w:ascii="Verdana" w:hAnsi="Verdana"/>
          <w:color w:val="000000" w:themeColor="text1"/>
          <w:sz w:val="22"/>
          <w:szCs w:val="22"/>
        </w:rPr>
        <w:t>members[</w:t>
      </w:r>
      <w:proofErr w:type="gramEnd"/>
      <w:r w:rsidRPr="00007BAA">
        <w:rPr>
          <w:rFonts w:ascii="Verdana" w:hAnsi="Verdana"/>
          <w:color w:val="000000" w:themeColor="text1"/>
          <w:sz w:val="22"/>
          <w:szCs w:val="22"/>
        </w:rPr>
        <w:t>’] [i]nternet communications without consent.</w:t>
      </w:r>
      <w:bookmarkStart w:id="22" w:name="co_footnoteReference_B013132037563344_ID"/>
      <w:bookmarkEnd w:id="22"/>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xml:space="preserve">The complaint asserts three federal law claims against all defendants. Count I claims violation of the federal Wiretap Act, </w:t>
      </w:r>
      <w:hyperlink r:id="rId7" w:history="1">
        <w:r w:rsidRPr="00007BAA">
          <w:rPr>
            <w:rFonts w:ascii="Verdana" w:hAnsi="Verdana"/>
            <w:color w:val="000000" w:themeColor="text1"/>
            <w:sz w:val="22"/>
            <w:szCs w:val="22"/>
          </w:rPr>
          <w:t>18 U.S.C. § 2510 et seq.</w:t>
        </w:r>
      </w:hyperlink>
      <w:r w:rsidRPr="00007BAA">
        <w:rPr>
          <w:rFonts w:ascii="Verdana" w:hAnsi="Verdana"/>
          <w:color w:val="000000" w:themeColor="text1"/>
          <w:sz w:val="22"/>
          <w:szCs w:val="22"/>
        </w:rPr>
        <w:t xml:space="preserve"> Count II claims violation of the Stored Communications Act, </w:t>
      </w:r>
      <w:hyperlink r:id="rId8" w:history="1">
        <w:r w:rsidRPr="00007BAA">
          <w:rPr>
            <w:rFonts w:ascii="Verdana" w:hAnsi="Verdana"/>
            <w:color w:val="000000" w:themeColor="text1"/>
            <w:sz w:val="22"/>
            <w:szCs w:val="22"/>
          </w:rPr>
          <w:t>18 U.S.C. § 2701</w:t>
        </w:r>
      </w:hyperlink>
      <w:r w:rsidRPr="00007BAA">
        <w:rPr>
          <w:rFonts w:ascii="Verdana" w:hAnsi="Verdana"/>
          <w:color w:val="000000" w:themeColor="text1"/>
          <w:sz w:val="22"/>
          <w:szCs w:val="22"/>
        </w:rPr>
        <w:t xml:space="preserve">. And Count III claims violation of the Computer Fraud and Abuse Act, </w:t>
      </w:r>
      <w:hyperlink r:id="rId9" w:history="1">
        <w:r w:rsidRPr="00007BAA">
          <w:rPr>
            <w:rFonts w:ascii="Verdana" w:hAnsi="Verdana"/>
            <w:color w:val="000000" w:themeColor="text1"/>
            <w:sz w:val="22"/>
            <w:szCs w:val="22"/>
          </w:rPr>
          <w:t>18 U.S.C. § 1030</w:t>
        </w:r>
      </w:hyperlink>
      <w:r w:rsidRPr="00007BAA">
        <w:rPr>
          <w:rFonts w:ascii="Verdana" w:hAnsi="Verdana"/>
          <w:color w:val="000000" w:themeColor="text1"/>
          <w:sz w:val="22"/>
          <w:szCs w:val="22"/>
        </w:rPr>
        <w:t>.</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xml:space="preserve">The complaint also asserts six California state law claims against Google only. Count IV claims violation of the privacy right conferred by the California Constitution. Count V claims intrusion upon seclusion under California tort law. Count VI claims violation of the Unfair Competition Law, </w:t>
      </w:r>
      <w:hyperlink r:id="rId10" w:history="1">
        <w:r w:rsidRPr="00007BAA">
          <w:rPr>
            <w:rFonts w:ascii="Verdana" w:hAnsi="Verdana"/>
            <w:color w:val="000000" w:themeColor="text1"/>
            <w:sz w:val="22"/>
            <w:szCs w:val="22"/>
          </w:rPr>
          <w:t>Cal. Bus. &amp; Prof.Code § 17200</w:t>
        </w:r>
      </w:hyperlink>
      <w:r w:rsidRPr="00007BAA">
        <w:rPr>
          <w:rFonts w:ascii="Verdana" w:hAnsi="Verdana"/>
          <w:color w:val="000000" w:themeColor="text1"/>
          <w:sz w:val="22"/>
          <w:szCs w:val="22"/>
        </w:rPr>
        <w:t xml:space="preserve">. Count VII claims violation of the California Comprehensive Computer Data Access and Fraud Act, </w:t>
      </w:r>
      <w:hyperlink r:id="rId11" w:history="1">
        <w:r w:rsidRPr="00007BAA">
          <w:rPr>
            <w:rFonts w:ascii="Verdana" w:hAnsi="Verdana"/>
            <w:color w:val="000000" w:themeColor="text1"/>
            <w:sz w:val="22"/>
            <w:szCs w:val="22"/>
          </w:rPr>
          <w:t>Cal.Penal Code § 502</w:t>
        </w:r>
      </w:hyperlink>
      <w:r w:rsidRPr="00007BAA">
        <w:rPr>
          <w:rFonts w:ascii="Verdana" w:hAnsi="Verdana"/>
          <w:color w:val="000000" w:themeColor="text1"/>
          <w:sz w:val="22"/>
          <w:szCs w:val="22"/>
        </w:rPr>
        <w:t xml:space="preserve">. Count VIII claims violation of the California Invasion of Privacy Act, </w:t>
      </w:r>
      <w:hyperlink r:id="rId12" w:history="1">
        <w:r w:rsidRPr="00007BAA">
          <w:rPr>
            <w:rFonts w:ascii="Verdana" w:hAnsi="Verdana"/>
            <w:color w:val="000000" w:themeColor="text1"/>
            <w:sz w:val="22"/>
            <w:szCs w:val="22"/>
          </w:rPr>
          <w:t>Cal.Penal Code § 630 et seq.</w:t>
        </w:r>
      </w:hyperlink>
      <w:r w:rsidRPr="00007BAA">
        <w:rPr>
          <w:rFonts w:ascii="Verdana" w:hAnsi="Verdana"/>
          <w:color w:val="000000" w:themeColor="text1"/>
          <w:sz w:val="22"/>
          <w:szCs w:val="22"/>
        </w:rPr>
        <w:t xml:space="preserve"> And Count IX claims violation of the California Consumers Legal Remedies Act, </w:t>
      </w:r>
      <w:hyperlink r:id="rId13" w:history="1">
        <w:r w:rsidRPr="00007BAA">
          <w:rPr>
            <w:rFonts w:ascii="Verdana" w:hAnsi="Verdana"/>
            <w:color w:val="000000" w:themeColor="text1"/>
            <w:sz w:val="22"/>
            <w:szCs w:val="22"/>
          </w:rPr>
          <w:t>Cal. Civ.Code § 1750 et seq.</w:t>
        </w:r>
      </w:hyperlink>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23" w:name="co_anchor_Ia4a474d42cf111e698dc8b09b4f04"/>
      <w:bookmarkEnd w:id="23"/>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24" w:name="co_anchor_Ia4a474d52cf111e698dc8b09b4f04"/>
      <w:bookmarkEnd w:id="24"/>
    </w:p>
    <w:p w:rsidR="009D7AE9" w:rsidRPr="00007BAA" w:rsidRDefault="009D7AE9" w:rsidP="009D7AE9">
      <w:pPr>
        <w:widowControl w:val="0"/>
        <w:autoSpaceDE w:val="0"/>
        <w:autoSpaceDN w:val="0"/>
        <w:adjustRightInd w:val="0"/>
        <w:jc w:val="center"/>
        <w:rPr>
          <w:rFonts w:ascii="Verdana" w:hAnsi="Verdana"/>
          <w:b/>
          <w:bCs/>
          <w:color w:val="000000" w:themeColor="text1"/>
          <w:sz w:val="22"/>
          <w:szCs w:val="22"/>
        </w:rPr>
      </w:pPr>
      <w:r w:rsidRPr="00007BAA">
        <w:rPr>
          <w:rFonts w:ascii="Verdana" w:hAnsi="Verdana"/>
          <w:b/>
          <w:bCs/>
          <w:color w:val="000000" w:themeColor="text1"/>
          <w:sz w:val="22"/>
          <w:szCs w:val="22"/>
        </w:rPr>
        <w:t>IV. State Law Claims Against Google</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We now turn to the five California state law claims brought against Google only.</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25" w:name="co_anchor_Ia4a474d62cf111e698dc8b09b4f04"/>
      <w:bookmarkEnd w:id="25"/>
    </w:p>
    <w:p w:rsidR="009D7AE9" w:rsidRPr="00007BAA" w:rsidRDefault="009D7AE9" w:rsidP="009D7AE9">
      <w:pPr>
        <w:widowControl w:val="0"/>
        <w:autoSpaceDE w:val="0"/>
        <w:autoSpaceDN w:val="0"/>
        <w:adjustRightInd w:val="0"/>
        <w:jc w:val="center"/>
        <w:rPr>
          <w:rFonts w:ascii="Verdana" w:hAnsi="Verdana"/>
          <w:b/>
          <w:bCs/>
          <w:color w:val="000000" w:themeColor="text1"/>
          <w:sz w:val="22"/>
          <w:szCs w:val="22"/>
        </w:rPr>
      </w:pPr>
      <w:r w:rsidRPr="00007BAA">
        <w:rPr>
          <w:rFonts w:ascii="Verdana" w:hAnsi="Verdana"/>
          <w:b/>
          <w:bCs/>
          <w:color w:val="000000" w:themeColor="text1"/>
          <w:sz w:val="22"/>
          <w:szCs w:val="22"/>
        </w:rPr>
        <w:t>A. Freestanding Privacy Claims</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We first consider, in tandem, the plaintiffs’ freestanding privacy claims under the California Constitution</w:t>
      </w:r>
      <w:bookmarkStart w:id="26" w:name="co_footnoteReference_B1101102037563344_I"/>
      <w:bookmarkEnd w:id="26"/>
      <w:r w:rsidRPr="00007BAA">
        <w:rPr>
          <w:rFonts w:ascii="Verdana" w:hAnsi="Verdana"/>
          <w:color w:val="000000" w:themeColor="text1"/>
          <w:sz w:val="22"/>
          <w:szCs w:val="22"/>
        </w:rPr>
        <w:t xml:space="preserve"> and California tort law.</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27" w:name="co_anchor_B162037563344_1"/>
      <w:bookmarkStart w:id="28" w:name="co_anchor_B172037563344_1"/>
      <w:bookmarkEnd w:id="27"/>
      <w:bookmarkEnd w:id="28"/>
      <w:r w:rsidRPr="00007BAA">
        <w:rPr>
          <w:rFonts w:ascii="Verdana" w:hAnsi="Verdana"/>
          <w:color w:val="000000" w:themeColor="text1"/>
          <w:sz w:val="22"/>
          <w:szCs w:val="22"/>
        </w:rPr>
        <w:t>“A privacy violation based on the common law tort of intrusion has two elements.”</w:t>
      </w:r>
      <w:bookmarkStart w:id="29" w:name="co_footnoteReference_B1111112037563344_I"/>
      <w:bookmarkEnd w:id="29"/>
      <w:r w:rsidRPr="00007BAA">
        <w:rPr>
          <w:rFonts w:ascii="Verdana" w:hAnsi="Verdana"/>
          <w:color w:val="000000" w:themeColor="text1"/>
          <w:sz w:val="22"/>
          <w:szCs w:val="22"/>
        </w:rPr>
        <w:fldChar w:fldCharType="begin"/>
      </w:r>
      <w:r w:rsidRPr="00007BAA">
        <w:rPr>
          <w:rFonts w:ascii="Verdana" w:hAnsi="Verdana"/>
          <w:color w:val="000000" w:themeColor="text1"/>
          <w:sz w:val="22"/>
          <w:szCs w:val="22"/>
        </w:rPr>
        <w:instrText xml:space="preserve">HYPERLINK "#co_footnote_B1111112037563344_1" </w:instrText>
      </w:r>
      <w:r w:rsidRPr="00007BAA">
        <w:rPr>
          <w:rFonts w:ascii="Verdana" w:hAnsi="Verdana"/>
          <w:color w:val="000000" w:themeColor="text1"/>
          <w:sz w:val="22"/>
          <w:szCs w:val="22"/>
        </w:rPr>
        <w:fldChar w:fldCharType="separate"/>
      </w:r>
      <w:r w:rsidRPr="00007BAA">
        <w:rPr>
          <w:rFonts w:ascii="Verdana" w:hAnsi="Verdana"/>
          <w:color w:val="000000" w:themeColor="text1"/>
          <w:sz w:val="22"/>
          <w:szCs w:val="22"/>
          <w:vertAlign w:val="superscript"/>
        </w:rPr>
        <w:t>111</w:t>
      </w:r>
      <w:r w:rsidRPr="00007BAA">
        <w:rPr>
          <w:rFonts w:ascii="Verdana" w:hAnsi="Verdana"/>
          <w:color w:val="000000" w:themeColor="text1"/>
          <w:sz w:val="22"/>
          <w:szCs w:val="22"/>
        </w:rPr>
        <w:fldChar w:fldCharType="end"/>
      </w:r>
      <w:r w:rsidRPr="00007BAA">
        <w:rPr>
          <w:rFonts w:ascii="Verdana" w:hAnsi="Verdana"/>
          <w:color w:val="000000" w:themeColor="text1"/>
          <w:sz w:val="22"/>
          <w:szCs w:val="22"/>
        </w:rPr>
        <w:t xml:space="preserve"> “First, the defendant must intentionally intrude into a place, conversation, or matter as to which the plaintiff has a reasonable expectation of privacy.”</w:t>
      </w:r>
      <w:bookmarkStart w:id="30" w:name="co_footnoteReference_B1121122037563344_I"/>
      <w:bookmarkEnd w:id="30"/>
      <w:r w:rsidRPr="00007BAA">
        <w:rPr>
          <w:rFonts w:ascii="Verdana" w:hAnsi="Verdana"/>
          <w:color w:val="000000" w:themeColor="text1"/>
          <w:sz w:val="22"/>
          <w:szCs w:val="22"/>
        </w:rPr>
        <w:t xml:space="preserve"> This means “the defendant must have ‘penetrated some zone of physical or sensory privacy ... or obtained unwanted access to data’ by electronic or other covert means, in violation of the law or social norms.”</w:t>
      </w:r>
      <w:bookmarkStart w:id="31" w:name="co_footnoteReference_B1131132037563344_I"/>
      <w:bookmarkEnd w:id="31"/>
      <w:r w:rsidRPr="00007BAA">
        <w:rPr>
          <w:rFonts w:ascii="Verdana" w:hAnsi="Verdana"/>
          <w:color w:val="000000" w:themeColor="text1"/>
          <w:sz w:val="22"/>
          <w:szCs w:val="22"/>
        </w:rPr>
        <w:t xml:space="preserve"> Second, “the intrusion must occur in a manner highly offensive to a reasonable person.”</w:t>
      </w:r>
      <w:bookmarkStart w:id="32" w:name="co_footnoteReference_B1141142037563344_I"/>
      <w:bookmarkEnd w:id="32"/>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33" w:name="co_anchor_B182037563344_1"/>
      <w:bookmarkEnd w:id="33"/>
      <w:r w:rsidRPr="00007BAA">
        <w:rPr>
          <w:rFonts w:ascii="Verdana" w:hAnsi="Verdana"/>
          <w:color w:val="000000" w:themeColor="text1"/>
          <w:sz w:val="22"/>
          <w:szCs w:val="22"/>
        </w:rPr>
        <w:t>“The right to privacy in the California Constitution sets standards similar to the common law tort of intrusion.”</w:t>
      </w:r>
      <w:bookmarkStart w:id="34" w:name="co_footnoteReference_B1151152037563344_I"/>
      <w:bookmarkEnd w:id="34"/>
      <w:r w:rsidRPr="00007BAA">
        <w:rPr>
          <w:rFonts w:ascii="Verdana" w:hAnsi="Verdana"/>
          <w:color w:val="000000" w:themeColor="text1"/>
          <w:sz w:val="22"/>
          <w:szCs w:val="22"/>
        </w:rPr>
        <w:t xml:space="preserve"> “First, [the plaintiff] must possess a legally protected privacy interest.... Second, </w:t>
      </w:r>
      <w:bookmarkStart w:id="35" w:name="co_pp_sp_506_150_1"/>
      <w:bookmarkEnd w:id="35"/>
      <w:r w:rsidRPr="00007BAA">
        <w:rPr>
          <w:rFonts w:ascii="Verdana" w:hAnsi="Verdana"/>
          <w:color w:val="000000" w:themeColor="text1"/>
          <w:sz w:val="22"/>
          <w:szCs w:val="22"/>
        </w:rPr>
        <w:t>the plaintiff’s expectations of privacy must be reasonable.... Third, the plaintiff must show that the intrusion is so serious ‘in nature, scope, and actual or potential impact as to constitute an egregious breach of the social norms.</w:t>
      </w:r>
      <w:proofErr w:type="gramStart"/>
      <w:r w:rsidRPr="00007BAA">
        <w:rPr>
          <w:rFonts w:ascii="Verdana" w:hAnsi="Verdana"/>
          <w:color w:val="000000" w:themeColor="text1"/>
          <w:sz w:val="22"/>
          <w:szCs w:val="22"/>
        </w:rPr>
        <w:t>’ ”</w:t>
      </w:r>
      <w:bookmarkStart w:id="36" w:name="co_footnoteReference_B1161162037563344_I"/>
      <w:bookmarkEnd w:id="36"/>
      <w:proofErr w:type="gramEnd"/>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37" w:name="co_anchor_B192037563344_1"/>
      <w:bookmarkStart w:id="38" w:name="co_anchor_B202037563344_1"/>
      <w:bookmarkEnd w:id="37"/>
      <w:bookmarkEnd w:id="38"/>
      <w:r w:rsidRPr="00007BAA">
        <w:rPr>
          <w:rFonts w:ascii="Verdana" w:hAnsi="Verdana"/>
          <w:color w:val="000000" w:themeColor="text1"/>
          <w:sz w:val="22"/>
          <w:szCs w:val="22"/>
        </w:rPr>
        <w:t>When presented with parallel privacy claims under tort law and the California Constitution, the California Supreme Court has performed a dual inquiry “under the rubric of both ... tests.”</w:t>
      </w:r>
      <w:bookmarkStart w:id="39" w:name="co_footnoteReference_B1171172037563344_I"/>
      <w:bookmarkEnd w:id="39"/>
      <w:r w:rsidRPr="00007BAA">
        <w:rPr>
          <w:rFonts w:ascii="Verdana" w:hAnsi="Verdana"/>
          <w:color w:val="000000" w:themeColor="text1"/>
          <w:sz w:val="22"/>
          <w:szCs w:val="22"/>
        </w:rPr>
        <w:t xml:space="preserve"> This “consider[s] (1) the nature of any intrusion upon reasonable expectations of privacy, and (2) the offensiveness or seriousness of the </w:t>
      </w:r>
      <w:r w:rsidRPr="00007BAA">
        <w:rPr>
          <w:rFonts w:ascii="Verdana" w:hAnsi="Verdana"/>
          <w:color w:val="000000" w:themeColor="text1"/>
          <w:sz w:val="22"/>
          <w:szCs w:val="22"/>
        </w:rPr>
        <w:lastRenderedPageBreak/>
        <w:t>intrusion, including any justification and other relevant interests.”</w:t>
      </w:r>
      <w:bookmarkStart w:id="40" w:name="co_footnoteReference_B1181182037563344_I"/>
      <w:bookmarkEnd w:id="40"/>
      <w:r w:rsidRPr="00007BAA">
        <w:rPr>
          <w:rFonts w:ascii="Verdana" w:hAnsi="Verdana"/>
          <w:color w:val="000000" w:themeColor="text1"/>
          <w:sz w:val="22"/>
          <w:szCs w:val="22"/>
        </w:rPr>
        <w:t xml:space="preserve"> In evaluating the offensiveness of an invasion, the court is to consider “prag</w:t>
      </w:r>
      <w:bookmarkStart w:id="41" w:name="_GoBack"/>
      <w:bookmarkEnd w:id="41"/>
      <w:r w:rsidRPr="00007BAA">
        <w:rPr>
          <w:rFonts w:ascii="Verdana" w:hAnsi="Verdana"/>
          <w:color w:val="000000" w:themeColor="text1"/>
          <w:sz w:val="22"/>
          <w:szCs w:val="22"/>
        </w:rPr>
        <w:t>matic policy concerns” such that “no cause of action will lie for accidental, misguided, or excusable acts of overstepping upon legitimate privacy rights.”</w:t>
      </w:r>
      <w:bookmarkStart w:id="42" w:name="co_footnoteReference_B1191192037563344_I"/>
      <w:bookmarkEnd w:id="42"/>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In dismissing the freestanding privacy claims, the District Court concluded that Google’s alleged practices “did not rise to the level of a serious invasion of privacy or an egregious breach of social norms.”</w:t>
      </w:r>
      <w:bookmarkStart w:id="43" w:name="co_footnoteReference_B1201202037563344_I"/>
      <w:bookmarkEnd w:id="43"/>
      <w:r w:rsidRPr="00007BAA">
        <w:rPr>
          <w:rFonts w:ascii="Verdana" w:hAnsi="Verdana"/>
          <w:color w:val="000000" w:themeColor="text1"/>
          <w:sz w:val="22"/>
          <w:szCs w:val="22"/>
        </w:rPr>
        <w:t xml:space="preserve"> Contending the District Court got it right, Google says the plaintiffs voluntarily sent Google all the internet usage information at issue.</w:t>
      </w:r>
      <w:bookmarkStart w:id="44" w:name="co_footnoteReference_B1211212037563344_I"/>
      <w:bookmarkEnd w:id="44"/>
      <w:r w:rsidRPr="00007BAA">
        <w:rPr>
          <w:rFonts w:ascii="Verdana" w:hAnsi="Verdana"/>
          <w:color w:val="000000" w:themeColor="text1"/>
          <w:sz w:val="22"/>
          <w:szCs w:val="22"/>
        </w:rPr>
        <w:t xml:space="preserve"> Moreover, Google argues, tracking cookies are routine.</w:t>
      </w:r>
      <w:bookmarkStart w:id="45" w:name="co_footnoteReference_B1221222037563344_I"/>
      <w:bookmarkEnd w:id="45"/>
      <w:r w:rsidRPr="00007BAA">
        <w:rPr>
          <w:rFonts w:ascii="Verdana" w:hAnsi="Verdana"/>
          <w:color w:val="000000" w:themeColor="text1"/>
          <w:sz w:val="22"/>
          <w:szCs w:val="22"/>
        </w:rPr>
        <w:t xml:space="preserve"> Pointing to cases describing cookies as, more or less, innocuous,</w:t>
      </w:r>
      <w:bookmarkStart w:id="46" w:name="co_footnoteReference_B1231232037563344_I"/>
      <w:bookmarkEnd w:id="46"/>
      <w:r w:rsidRPr="00007BAA">
        <w:rPr>
          <w:rFonts w:ascii="Verdana" w:hAnsi="Verdana"/>
          <w:color w:val="000000" w:themeColor="text1"/>
          <w:sz w:val="22"/>
          <w:szCs w:val="22"/>
        </w:rPr>
        <w:t xml:space="preserve"> Google offers that courts “routinely” find no actionable privacy invasion in cases involving tracking, collation, and disclosure of internet usage information.</w:t>
      </w:r>
      <w:bookmarkStart w:id="47" w:name="co_footnoteReference_B1241242037563344_I"/>
      <w:bookmarkEnd w:id="47"/>
      <w:r w:rsidRPr="00007BAA">
        <w:rPr>
          <w:rFonts w:ascii="Verdana" w:hAnsi="Verdana"/>
          <w:color w:val="000000" w:themeColor="text1"/>
          <w:sz w:val="22"/>
          <w:szCs w:val="22"/>
        </w:rPr>
        <w:t xml:space="preserve"> Google gives particular attention to </w:t>
      </w:r>
      <w:r w:rsidRPr="00007BAA">
        <w:rPr>
          <w:rFonts w:ascii="Verdana" w:hAnsi="Verdana"/>
          <w:i/>
          <w:iCs/>
          <w:color w:val="000000" w:themeColor="text1"/>
          <w:sz w:val="22"/>
          <w:szCs w:val="22"/>
        </w:rPr>
        <w:t>Low v. LinkedIn,</w:t>
      </w:r>
      <w:r w:rsidRPr="00007BAA">
        <w:rPr>
          <w:rFonts w:ascii="Verdana" w:hAnsi="Verdana"/>
          <w:color w:val="000000" w:themeColor="text1"/>
          <w:sz w:val="22"/>
          <w:szCs w:val="22"/>
        </w:rPr>
        <w:t xml:space="preserve"> where the Northern District of California explained that “[e]ven disclosure of personal information, including social security numbers, does not constitute an ‘egregious breach of the social norms’ to establish an invasion of privacy claim.”</w:t>
      </w:r>
      <w:bookmarkStart w:id="48" w:name="co_footnoteReference_B1251252037563344_I"/>
      <w:bookmarkEnd w:id="48"/>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xml:space="preserve">For purposes of California privacy law, Google’s emphasis on tracking and disclosure amounts to a smokescreen. What is notable about this case is </w:t>
      </w:r>
      <w:r w:rsidRPr="00007BAA">
        <w:rPr>
          <w:rFonts w:ascii="Verdana" w:hAnsi="Verdana"/>
          <w:i/>
          <w:iCs/>
          <w:color w:val="000000" w:themeColor="text1"/>
          <w:sz w:val="22"/>
          <w:szCs w:val="22"/>
        </w:rPr>
        <w:t>how</w:t>
      </w:r>
      <w:r w:rsidRPr="00007BAA">
        <w:rPr>
          <w:rFonts w:ascii="Verdana" w:hAnsi="Verdana"/>
          <w:color w:val="000000" w:themeColor="text1"/>
          <w:sz w:val="22"/>
          <w:szCs w:val="22"/>
        </w:rPr>
        <w:t xml:space="preserve"> Google accomplished its tracking. Allegedly, this was by overriding the plaintiffs’ cookie blockers, while concurrently announcing in its Privacy Policy that internet users could “reset your browser to refuse all cookies.”</w:t>
      </w:r>
      <w:bookmarkStart w:id="49" w:name="co_footnoteReference_B1261262037563344_I"/>
      <w:bookmarkEnd w:id="49"/>
      <w:r w:rsidRPr="00007BAA">
        <w:rPr>
          <w:rFonts w:ascii="Verdana" w:hAnsi="Verdana"/>
          <w:color w:val="000000" w:themeColor="text1"/>
          <w:sz w:val="22"/>
          <w:szCs w:val="22"/>
        </w:rPr>
        <w:t xml:space="preserve"> Google further assured Safari users specifically that their cookie blockers meant that using Google’s in-house prophylactic would be extraneous. Characterized by deceit and disregard, the alleged conduct raises different issues than tracking or disclosure alone.</w:t>
      </w:r>
      <w:bookmarkStart w:id="50" w:name="co_footnoteReference_B1271272037563344_I"/>
      <w:bookmarkEnd w:id="50"/>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51" w:name="co_pp_sp_506_151_1"/>
      <w:bookmarkStart w:id="52" w:name="co_anchor_B212037563344_1"/>
      <w:bookmarkEnd w:id="51"/>
      <w:bookmarkEnd w:id="52"/>
      <w:r w:rsidRPr="00007BAA">
        <w:rPr>
          <w:rFonts w:ascii="Verdana" w:hAnsi="Verdana"/>
          <w:color w:val="000000" w:themeColor="text1"/>
          <w:sz w:val="22"/>
          <w:szCs w:val="22"/>
        </w:rPr>
        <w:t>Directly pertinent to whether Google’s alleged practices implicated a protected privacy interest, California tort law treats as actionable an “unwanted access to data by electronic or other covert means, in violation of the law or social norms.”</w:t>
      </w:r>
      <w:bookmarkStart w:id="53" w:name="co_footnoteReference_B1281282037563344_I"/>
      <w:bookmarkEnd w:id="53"/>
      <w:r w:rsidRPr="00007BAA">
        <w:rPr>
          <w:rFonts w:ascii="Verdana" w:hAnsi="Verdana"/>
          <w:color w:val="000000" w:themeColor="text1"/>
          <w:sz w:val="22"/>
          <w:szCs w:val="22"/>
        </w:rPr>
        <w:t xml:space="preserve"> Moreover, the California Constitution protects an interest in “conducting personal activities without observation,” with the reasonableness of any given expectation “rest[ing] on an examination of customs ... as well as the opportunity to be notified in advance and consent to the intrusion.”</w:t>
      </w:r>
      <w:bookmarkStart w:id="54" w:name="co_footnoteReference_B1291292037563344_I"/>
      <w:bookmarkEnd w:id="54"/>
      <w:r w:rsidRPr="00007BAA">
        <w:rPr>
          <w:rFonts w:ascii="Verdana" w:hAnsi="Verdana"/>
          <w:color w:val="000000" w:themeColor="text1"/>
          <w:sz w:val="22"/>
          <w:szCs w:val="22"/>
        </w:rPr>
        <w:t xml:space="preserve"> To Google’s point, a sophisticated internet user may well have known that, in browsing the internet, her URL information was sent to Google. But such a user would also reasonably expect that her activated cookie blocker meant her URL queries would not be associated with each other due to cookies.</w:t>
      </w:r>
      <w:bookmarkStart w:id="55" w:name="co_footnoteReference_B1301302037563344_I"/>
      <w:bookmarkEnd w:id="55"/>
      <w:r w:rsidRPr="00007BAA">
        <w:rPr>
          <w:rFonts w:ascii="Verdana" w:hAnsi="Verdana"/>
          <w:color w:val="000000" w:themeColor="text1"/>
          <w:sz w:val="22"/>
          <w:szCs w:val="22"/>
        </w:rPr>
        <w:t xml:space="preserve"> As the activated cookie blocker equates, in our view, to an express, clearly communicated denial of consent for installation of cookies, we find Google “intru[ded] upon reasonable expectations of privacy.”</w:t>
      </w:r>
      <w:bookmarkStart w:id="56" w:name="co_footnoteReference_B1311312037563344_I"/>
      <w:bookmarkEnd w:id="56"/>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bookmarkStart w:id="57" w:name="co_anchor_B222037563344_1"/>
      <w:bookmarkEnd w:id="57"/>
      <w:r w:rsidRPr="00007BAA">
        <w:rPr>
          <w:rFonts w:ascii="Verdana" w:hAnsi="Verdana"/>
          <w:color w:val="000000" w:themeColor="text1"/>
          <w:sz w:val="22"/>
          <w:szCs w:val="22"/>
        </w:rPr>
        <w:t xml:space="preserve">As for whether the alleged conduct is “so serious in </w:t>
      </w:r>
      <w:proofErr w:type="gramStart"/>
      <w:r w:rsidRPr="00007BAA">
        <w:rPr>
          <w:rFonts w:ascii="Verdana" w:hAnsi="Verdana"/>
          <w:color w:val="000000" w:themeColor="text1"/>
          <w:sz w:val="22"/>
          <w:szCs w:val="22"/>
        </w:rPr>
        <w:t>nature[</w:t>
      </w:r>
      <w:proofErr w:type="gramEnd"/>
      <w:r w:rsidRPr="00007BAA">
        <w:rPr>
          <w:rFonts w:ascii="Verdana" w:hAnsi="Verdana"/>
          <w:color w:val="000000" w:themeColor="text1"/>
          <w:sz w:val="22"/>
          <w:szCs w:val="22"/>
        </w:rPr>
        <w:t xml:space="preserve"> ] [and] scope ... as to constitute an egregious breach of the social norms,”</w:t>
      </w:r>
      <w:bookmarkStart w:id="58" w:name="co_footnoteReference_B1321322037563344_I"/>
      <w:bookmarkEnd w:id="58"/>
      <w:r w:rsidRPr="00007BAA">
        <w:rPr>
          <w:rFonts w:ascii="Verdana" w:hAnsi="Verdana"/>
          <w:color w:val="000000" w:themeColor="text1"/>
          <w:sz w:val="22"/>
          <w:szCs w:val="22"/>
        </w:rPr>
        <w:t xml:space="preserve"> Google not only contravened the cookie blockers—it held itself out as respecting the cookie blockers. Whether or not data-based targeting is the internet’s pole star, users are entitled to deny consent, and they are entitled to rely on the public promises of the companies they deal with. Furthermore, Google’s alleged conduct was broad, touching untold millions of internet users; it was surreptitious, surfacing only because of the independent research of Mayer and the Wall Street Journal; and it was of indefinite duration, with Google’s </w:t>
      </w:r>
      <w:r w:rsidRPr="00007BAA">
        <w:rPr>
          <w:rFonts w:ascii="Verdana" w:hAnsi="Verdana"/>
          <w:color w:val="000000" w:themeColor="text1"/>
          <w:sz w:val="22"/>
          <w:szCs w:val="22"/>
        </w:rPr>
        <w:lastRenderedPageBreak/>
        <w:t>counsel conceding at argument that their tracking cookies have no natural lifespan. Particularly as concerns Google’s public statements regarding the Safari cookie blocker, we see no justification. Neither, apparently, do the elected branches, as California and federal executive agencies have themselves sought to penalize Google for the events alleged in the complaint.</w:t>
      </w:r>
      <w:bookmarkStart w:id="59" w:name="co_footnoteReference_B1331332037563344_I"/>
      <w:bookmarkEnd w:id="59"/>
      <w:r w:rsidRPr="00007BAA">
        <w:rPr>
          <w:rFonts w:ascii="Verdana" w:hAnsi="Verdana"/>
          <w:color w:val="000000" w:themeColor="text1"/>
          <w:sz w:val="22"/>
          <w:szCs w:val="22"/>
        </w:rPr>
        <w:t xml:space="preserve"> Based on the pled facts, a reasonable factfinder could indeed deem Google’s conduct “highly offensive” or “an egregious breach of social norms.”</w:t>
      </w:r>
      <w:bookmarkStart w:id="60" w:name="co_footnoteReference_B1341342037563344_I"/>
      <w:bookmarkEnd w:id="60"/>
      <w:r w:rsidRPr="00007BAA">
        <w:rPr>
          <w:rFonts w:ascii="Verdana" w:hAnsi="Verdana"/>
          <w:color w:val="000000" w:themeColor="text1"/>
          <w:sz w:val="22"/>
          <w:szCs w:val="22"/>
        </w:rPr>
        <w:t xml:space="preserve">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w:t>
      </w:r>
    </w:p>
    <w:p w:rsidR="009D7AE9" w:rsidRPr="00007BAA" w:rsidRDefault="009D7AE9" w:rsidP="009D7AE9">
      <w:pPr>
        <w:widowControl w:val="0"/>
        <w:autoSpaceDE w:val="0"/>
        <w:autoSpaceDN w:val="0"/>
        <w:adjustRightInd w:val="0"/>
        <w:jc w:val="both"/>
        <w:rPr>
          <w:rFonts w:ascii="Verdana" w:hAnsi="Verdana"/>
          <w:color w:val="000000" w:themeColor="text1"/>
          <w:sz w:val="22"/>
          <w:szCs w:val="22"/>
        </w:rPr>
      </w:pPr>
      <w:r w:rsidRPr="00007BAA">
        <w:rPr>
          <w:rFonts w:ascii="Verdana" w:hAnsi="Verdana"/>
          <w:color w:val="000000" w:themeColor="text1"/>
          <w:sz w:val="22"/>
          <w:szCs w:val="22"/>
        </w:rPr>
        <w:t xml:space="preserve">A reasonable jury could conclude that Google’s alleged practices constitute the serious invasion of privacy contemplated by California law. We will vacate the dismissal of the plaintiffs’ claims under the </w:t>
      </w:r>
      <w:bookmarkStart w:id="61" w:name="co_pp_sp_506_152_1"/>
      <w:bookmarkEnd w:id="61"/>
      <w:r w:rsidRPr="00007BAA">
        <w:rPr>
          <w:rFonts w:ascii="Verdana" w:hAnsi="Verdana"/>
          <w:color w:val="000000" w:themeColor="text1"/>
          <w:sz w:val="22"/>
          <w:szCs w:val="22"/>
        </w:rPr>
        <w:t>California Constitution and California tort law.</w:t>
      </w:r>
    </w:p>
    <w:p w:rsidR="009D7AE9" w:rsidRDefault="009D7AE9" w:rsidP="009D7AE9">
      <w:pPr>
        <w:widowControl w:val="0"/>
        <w:autoSpaceDE w:val="0"/>
        <w:autoSpaceDN w:val="0"/>
        <w:adjustRightInd w:val="0"/>
        <w:rPr>
          <w:rFonts w:ascii="Verdana" w:hAnsi="Verdana"/>
          <w:color w:val="000000" w:themeColor="text1"/>
          <w:sz w:val="22"/>
          <w:szCs w:val="22"/>
        </w:rPr>
      </w:pPr>
    </w:p>
    <w:p w:rsidR="009E2B76" w:rsidRDefault="009E2B76"/>
    <w:sectPr w:rsidR="009E2B7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A6C" w:rsidRDefault="00170A6C" w:rsidP="009D7AE9">
      <w:r>
        <w:separator/>
      </w:r>
    </w:p>
  </w:endnote>
  <w:endnote w:type="continuationSeparator" w:id="0">
    <w:p w:rsidR="00170A6C" w:rsidRDefault="00170A6C" w:rsidP="009D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286346"/>
      <w:docPartObj>
        <w:docPartGallery w:val="Page Numbers (Bottom of Page)"/>
        <w:docPartUnique/>
      </w:docPartObj>
    </w:sdtPr>
    <w:sdtEndPr>
      <w:rPr>
        <w:noProof/>
      </w:rPr>
    </w:sdtEndPr>
    <w:sdtContent>
      <w:p w:rsidR="009D7AE9" w:rsidRDefault="009D7AE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D7AE9" w:rsidRDefault="009D7A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A6C" w:rsidRDefault="00170A6C" w:rsidP="009D7AE9">
      <w:r>
        <w:separator/>
      </w:r>
    </w:p>
  </w:footnote>
  <w:footnote w:type="continuationSeparator" w:id="0">
    <w:p w:rsidR="00170A6C" w:rsidRDefault="00170A6C" w:rsidP="009D7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E9"/>
    <w:rsid w:val="00170A6C"/>
    <w:rsid w:val="009D7AE9"/>
    <w:rsid w:val="009E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ED8FB-A4E7-4E24-8EA4-D30D5B33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A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AE9"/>
    <w:pPr>
      <w:tabs>
        <w:tab w:val="center" w:pos="4680"/>
        <w:tab w:val="right" w:pos="9360"/>
      </w:tabs>
    </w:pPr>
  </w:style>
  <w:style w:type="character" w:customStyle="1" w:styleId="HeaderChar">
    <w:name w:val="Header Char"/>
    <w:basedOn w:val="DefaultParagraphFont"/>
    <w:link w:val="Header"/>
    <w:uiPriority w:val="99"/>
    <w:rsid w:val="009D7A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7AE9"/>
    <w:pPr>
      <w:tabs>
        <w:tab w:val="center" w:pos="4680"/>
        <w:tab w:val="right" w:pos="9360"/>
      </w:tabs>
    </w:pPr>
  </w:style>
  <w:style w:type="character" w:customStyle="1" w:styleId="FooterChar">
    <w:name w:val="Footer Char"/>
    <w:basedOn w:val="DefaultParagraphFont"/>
    <w:link w:val="Footer"/>
    <w:uiPriority w:val="99"/>
    <w:rsid w:val="009D7A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L&amp;pubNum=1000546&amp;cite=18USCAS2701&amp;originatingDoc=Ia7f1af94879c11e5b4bafa136b480ad2&amp;refType=LQ&amp;originationContext=document&amp;vr=3.0&amp;rs=cblt1.0&amp;transitionType=DocumentItem&amp;contextData=(sc.Default)" TargetMode="External"/><Relationship Id="rId13" Type="http://schemas.openxmlformats.org/officeDocument/2006/relationships/hyperlink" Target="http://www.westlaw.com/Link/Document/FullText?findType=L&amp;pubNum=1000200&amp;cite=CACIS1750&amp;originatingDoc=Ia7f1af94879c11e5b4bafa136b480ad2&amp;refType=LQ&amp;originationContext=document&amp;vr=3.0&amp;rs=cblt1.0&amp;transitionType=DocumentItem&amp;contextData=(sc.Default)" TargetMode="External"/><Relationship Id="rId3" Type="http://schemas.openxmlformats.org/officeDocument/2006/relationships/webSettings" Target="webSettings.xml"/><Relationship Id="rId7" Type="http://schemas.openxmlformats.org/officeDocument/2006/relationships/hyperlink" Target="http://www.westlaw.com/Link/Document/FullText?findType=L&amp;pubNum=1000546&amp;cite=18USCAS2510&amp;originatingDoc=Ia7f1af94879c11e5b4bafa136b480ad2&amp;refType=LQ&amp;originationContext=document&amp;vr=3.0&amp;rs=cblt1.0&amp;transitionType=DocumentItem&amp;contextData=(sc.Default)" TargetMode="External"/><Relationship Id="rId12" Type="http://schemas.openxmlformats.org/officeDocument/2006/relationships/hyperlink" Target="http://www.westlaw.com/Link/Document/FullText?findType=L&amp;pubNum=1000217&amp;cite=CAPES630&amp;originatingDoc=Ia7f1af94879c11e5b4bafa136b480ad2&amp;refType=LQ&amp;originationContext=document&amp;vr=3.0&amp;rs=cblt1.0&amp;transitionType=DocumentItem&amp;contextData=(sc.Defaul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estlaw.com/Link/Document/FullText?findType=h&amp;pubNum=176284&amp;cite=0152999801&amp;originatingDoc=Ia7f1af94879c11e5b4bafa136b480ad2&amp;refType=RQ&amp;originationContext=document&amp;vr=3.0&amp;rs=cblt1.0&amp;transitionType=DocumentItem&amp;contextData=(sc.Default)" TargetMode="External"/><Relationship Id="rId11" Type="http://schemas.openxmlformats.org/officeDocument/2006/relationships/hyperlink" Target="http://www.westlaw.com/Link/Document/FullText?findType=L&amp;pubNum=1000217&amp;cite=CAPES502&amp;originatingDoc=Ia7f1af94879c11e5b4bafa136b480ad2&amp;refType=LQ&amp;originationContext=document&amp;vr=3.0&amp;rs=cblt1.0&amp;transitionType=DocumentItem&amp;contextData=(sc.Defaul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westlaw.com/Link/Document/FullText?findType=L&amp;pubNum=1000199&amp;cite=CABPS17200&amp;originatingDoc=Ia7f1af94879c11e5b4bafa136b480ad2&amp;refType=LQ&amp;originationContext=document&amp;vr=3.0&amp;rs=cblt1.0&amp;transitionType=DocumentItem&amp;contextData=(sc.Default)" TargetMode="External"/><Relationship Id="rId4" Type="http://schemas.openxmlformats.org/officeDocument/2006/relationships/footnotes" Target="footnotes.xml"/><Relationship Id="rId9" Type="http://schemas.openxmlformats.org/officeDocument/2006/relationships/hyperlink" Target="http://www.westlaw.com/Link/Document/FullText?findType=L&amp;pubNum=1000546&amp;cite=18USCAS1030&amp;originatingDoc=Ia7f1af94879c11e5b4bafa136b480ad2&amp;refType=LQ&amp;originationContext=document&amp;vr=3.0&amp;rs=cblt1.0&amp;transitionType=DocumentItem&amp;contextData=(sc.Defau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2020-04-21T14:16:00Z</dcterms:created>
  <dcterms:modified xsi:type="dcterms:W3CDTF">2020-04-21T14:17:00Z</dcterms:modified>
</cp:coreProperties>
</file>